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8FB" w:rsidRPr="00FA4BAD" w:rsidRDefault="008958FB" w:rsidP="008958FB">
      <w:pPr>
        <w:jc w:val="center"/>
        <w:rPr>
          <w:rFonts w:cstheme="minorHAnsi"/>
          <w:b/>
          <w:color w:val="4472C4" w:themeColor="accent5"/>
          <w:spacing w:val="-1"/>
          <w:sz w:val="28"/>
        </w:rPr>
      </w:pPr>
      <w:bookmarkStart w:id="0" w:name="Appendix_B"/>
      <w:bookmarkStart w:id="1" w:name="_Hlk533785071"/>
      <w:bookmarkStart w:id="2" w:name="_Hlk533778566"/>
      <w:r w:rsidRPr="00FA4BAD">
        <w:rPr>
          <w:rFonts w:cstheme="minorHAnsi"/>
          <w:b/>
          <w:color w:val="4472C4" w:themeColor="accent5"/>
          <w:spacing w:val="-1"/>
          <w:sz w:val="28"/>
        </w:rPr>
        <w:t>APPENDIX B:  FUNDING FORMULA FOR CURRENT GRANTEES</w:t>
      </w:r>
      <w:bookmarkEnd w:id="0"/>
    </w:p>
    <w:bookmarkEnd w:id="1"/>
    <w:p w:rsidR="008958FB" w:rsidRPr="00FA4BAD" w:rsidRDefault="008958FB" w:rsidP="008958FB">
      <w:pPr>
        <w:pStyle w:val="Heading3"/>
        <w:jc w:val="center"/>
        <w:rPr>
          <w:rFonts w:asciiTheme="minorHAnsi" w:eastAsia="Calibri" w:hAnsiTheme="minorHAnsi" w:cs="Calibri"/>
          <w:b w:val="0"/>
          <w:bCs w:val="0"/>
          <w:sz w:val="24"/>
          <w:szCs w:val="24"/>
        </w:rPr>
      </w:pPr>
      <w:r w:rsidRPr="00FA4BAD">
        <w:rPr>
          <w:rFonts w:asciiTheme="minorHAnsi" w:hAnsiTheme="minorHAnsi"/>
          <w:spacing w:val="-1"/>
          <w:sz w:val="24"/>
          <w:szCs w:val="24"/>
        </w:rPr>
        <w:t>Problem</w:t>
      </w:r>
      <w:r w:rsidRPr="00FA4BAD">
        <w:rPr>
          <w:rFonts w:asciiTheme="minorHAnsi" w:hAnsiTheme="minorHAnsi"/>
          <w:spacing w:val="-6"/>
          <w:sz w:val="24"/>
          <w:szCs w:val="24"/>
        </w:rPr>
        <w:t xml:space="preserve"> </w:t>
      </w:r>
      <w:r w:rsidRPr="00FA4BAD">
        <w:rPr>
          <w:rFonts w:asciiTheme="minorHAnsi" w:hAnsiTheme="minorHAnsi"/>
          <w:spacing w:val="-1"/>
          <w:sz w:val="24"/>
          <w:szCs w:val="24"/>
        </w:rPr>
        <w:t>Gambling</w:t>
      </w:r>
      <w:r w:rsidRPr="00FA4BAD">
        <w:rPr>
          <w:rFonts w:asciiTheme="minorHAnsi" w:hAnsiTheme="minorHAnsi"/>
          <w:spacing w:val="-6"/>
          <w:sz w:val="24"/>
          <w:szCs w:val="24"/>
        </w:rPr>
        <w:t xml:space="preserve"> </w:t>
      </w:r>
      <w:r w:rsidRPr="00FA4BAD">
        <w:rPr>
          <w:rFonts w:asciiTheme="minorHAnsi" w:hAnsiTheme="minorHAnsi"/>
          <w:spacing w:val="-1"/>
          <w:sz w:val="24"/>
          <w:szCs w:val="24"/>
        </w:rPr>
        <w:t>Treatment</w:t>
      </w:r>
      <w:r w:rsidRPr="00FA4BAD">
        <w:rPr>
          <w:rFonts w:asciiTheme="minorHAnsi" w:hAnsiTheme="minorHAnsi"/>
          <w:spacing w:val="-3"/>
          <w:sz w:val="24"/>
          <w:szCs w:val="24"/>
        </w:rPr>
        <w:t xml:space="preserve"> Funding Awards for SFY2020</w:t>
      </w:r>
      <w:r w:rsidRPr="00FA4BAD">
        <w:rPr>
          <w:rFonts w:asciiTheme="minorHAnsi" w:hAnsiTheme="minorHAnsi"/>
          <w:spacing w:val="-3"/>
          <w:sz w:val="24"/>
          <w:szCs w:val="24"/>
        </w:rPr>
        <w:br/>
      </w:r>
      <w:r w:rsidRPr="00FA4BAD">
        <w:rPr>
          <w:rFonts w:asciiTheme="minorHAnsi" w:hAnsiTheme="minorHAnsi"/>
          <w:spacing w:val="-1"/>
          <w:sz w:val="24"/>
          <w:szCs w:val="24"/>
        </w:rPr>
        <w:t>Based</w:t>
      </w:r>
      <w:r w:rsidRPr="00FA4BAD">
        <w:rPr>
          <w:rFonts w:asciiTheme="minorHAnsi" w:hAnsiTheme="minorHAnsi"/>
          <w:spacing w:val="-7"/>
          <w:sz w:val="24"/>
          <w:szCs w:val="24"/>
        </w:rPr>
        <w:t xml:space="preserve"> </w:t>
      </w:r>
      <w:r w:rsidRPr="00FA4BAD">
        <w:rPr>
          <w:rFonts w:asciiTheme="minorHAnsi" w:hAnsiTheme="minorHAnsi"/>
          <w:sz w:val="24"/>
          <w:szCs w:val="24"/>
        </w:rPr>
        <w:t>on</w:t>
      </w:r>
      <w:r w:rsidRPr="00FA4BAD">
        <w:rPr>
          <w:rFonts w:asciiTheme="minorHAnsi" w:hAnsiTheme="minorHAnsi"/>
          <w:spacing w:val="-5"/>
          <w:sz w:val="24"/>
          <w:szCs w:val="24"/>
        </w:rPr>
        <w:t xml:space="preserve"> Draws in SFY19</w:t>
      </w:r>
    </w:p>
    <w:bookmarkEnd w:id="2"/>
    <w:p w:rsidR="008958FB" w:rsidRPr="004461B5" w:rsidRDefault="008958FB" w:rsidP="008958FB">
      <w:pPr>
        <w:spacing w:before="9"/>
        <w:rPr>
          <w:rFonts w:eastAsia="Calibri" w:cs="Calibri"/>
          <w:b/>
          <w:bCs/>
          <w:sz w:val="25"/>
          <w:szCs w:val="25"/>
        </w:rPr>
      </w:pPr>
    </w:p>
    <w:tbl>
      <w:tblPr>
        <w:tblW w:w="9912" w:type="dxa"/>
        <w:jc w:val="center"/>
        <w:tblLayout w:type="fixed"/>
        <w:tblCellMar>
          <w:top w:w="58" w:type="dxa"/>
          <w:left w:w="58" w:type="dxa"/>
          <w:bottom w:w="58" w:type="dxa"/>
          <w:right w:w="58" w:type="dxa"/>
        </w:tblCellMar>
        <w:tblLook w:val="01E0" w:firstRow="1" w:lastRow="1" w:firstColumn="1" w:lastColumn="1" w:noHBand="0" w:noVBand="0"/>
      </w:tblPr>
      <w:tblGrid>
        <w:gridCol w:w="1176"/>
        <w:gridCol w:w="1440"/>
        <w:gridCol w:w="1350"/>
        <w:gridCol w:w="2088"/>
        <w:gridCol w:w="1242"/>
        <w:gridCol w:w="1260"/>
        <w:gridCol w:w="1356"/>
      </w:tblGrid>
      <w:tr w:rsidR="008958FB" w:rsidRPr="004461B5" w:rsidTr="00777365">
        <w:trPr>
          <w:trHeight w:val="2050"/>
          <w:jc w:val="center"/>
        </w:trPr>
        <w:tc>
          <w:tcPr>
            <w:tcW w:w="1176" w:type="dxa"/>
            <w:tcBorders>
              <w:top w:val="single" w:sz="5" w:space="0" w:color="000000"/>
              <w:left w:val="single" w:sz="5" w:space="0" w:color="000000"/>
              <w:bottom w:val="nil"/>
              <w:right w:val="single" w:sz="5" w:space="0" w:color="000000"/>
            </w:tcBorders>
            <w:shd w:val="clear" w:color="auto" w:fill="D9D9D9"/>
          </w:tcPr>
          <w:p w:rsidR="008958FB" w:rsidRPr="004461B5" w:rsidRDefault="008958FB" w:rsidP="00777365">
            <w:pPr>
              <w:jc w:val="center"/>
            </w:pPr>
            <w:bookmarkStart w:id="3" w:name="_Hlk534180875"/>
          </w:p>
        </w:tc>
        <w:tc>
          <w:tcPr>
            <w:tcW w:w="1440" w:type="dxa"/>
            <w:tcBorders>
              <w:top w:val="single" w:sz="5" w:space="0" w:color="000000"/>
              <w:left w:val="single" w:sz="5" w:space="0" w:color="000000"/>
              <w:bottom w:val="nil"/>
              <w:right w:val="single" w:sz="5" w:space="0" w:color="000000"/>
            </w:tcBorders>
            <w:shd w:val="clear" w:color="auto" w:fill="D9D9D9"/>
            <w:vAlign w:val="center"/>
          </w:tcPr>
          <w:p w:rsidR="008958FB" w:rsidRPr="00FA4BAD" w:rsidRDefault="008958FB" w:rsidP="00777365">
            <w:pPr>
              <w:pStyle w:val="TableParagraph"/>
              <w:spacing w:before="143"/>
              <w:jc w:val="center"/>
              <w:rPr>
                <w:rFonts w:eastAsia="Calibri" w:cs="Calibri"/>
              </w:rPr>
            </w:pPr>
            <w:r w:rsidRPr="00FA4BAD">
              <w:rPr>
                <w:b/>
                <w:spacing w:val="-1"/>
              </w:rPr>
              <w:t>Draws</w:t>
            </w:r>
            <w:r w:rsidRPr="00FA4BAD">
              <w:rPr>
                <w:b/>
                <w:spacing w:val="-2"/>
              </w:rPr>
              <w:t xml:space="preserve"> </w:t>
            </w:r>
            <w:r w:rsidRPr="00FA4BAD">
              <w:rPr>
                <w:b/>
                <w:spacing w:val="-1"/>
              </w:rPr>
              <w:t>from July 2018</w:t>
            </w:r>
            <w:r w:rsidRPr="00FA4BAD">
              <w:rPr>
                <w:b/>
              </w:rPr>
              <w:t xml:space="preserve"> </w:t>
            </w:r>
            <w:r w:rsidRPr="00FA4BAD">
              <w:rPr>
                <w:b/>
                <w:spacing w:val="-1"/>
              </w:rPr>
              <w:t>through January 2019</w:t>
            </w:r>
          </w:p>
        </w:tc>
        <w:tc>
          <w:tcPr>
            <w:tcW w:w="1350" w:type="dxa"/>
            <w:tcBorders>
              <w:top w:val="single" w:sz="5" w:space="0" w:color="000000"/>
              <w:left w:val="single" w:sz="5" w:space="0" w:color="000000"/>
              <w:bottom w:val="nil"/>
              <w:right w:val="single" w:sz="5" w:space="0" w:color="000000"/>
            </w:tcBorders>
            <w:shd w:val="clear" w:color="auto" w:fill="D9D9D9"/>
            <w:vAlign w:val="center"/>
          </w:tcPr>
          <w:p w:rsidR="008958FB" w:rsidRPr="00FA4BAD" w:rsidRDefault="008958FB" w:rsidP="00777365">
            <w:pPr>
              <w:pStyle w:val="TableParagraph"/>
              <w:spacing w:before="194" w:line="239" w:lineRule="auto"/>
              <w:jc w:val="center"/>
              <w:rPr>
                <w:rFonts w:eastAsia="Calibri" w:cs="Calibri"/>
              </w:rPr>
            </w:pPr>
            <w:r w:rsidRPr="00FA4BAD">
              <w:rPr>
                <w:b/>
                <w:spacing w:val="-1"/>
              </w:rPr>
              <w:t>Total</w:t>
            </w:r>
            <w:r w:rsidRPr="00FA4BAD">
              <w:rPr>
                <w:b/>
              </w:rPr>
              <w:t xml:space="preserve"> S</w:t>
            </w:r>
            <w:r w:rsidRPr="00FA4BAD">
              <w:rPr>
                <w:b/>
                <w:spacing w:val="-1"/>
              </w:rPr>
              <w:t>FY19</w:t>
            </w:r>
            <w:r w:rsidRPr="00FA4BAD">
              <w:rPr>
                <w:b/>
                <w:spacing w:val="25"/>
              </w:rPr>
              <w:t xml:space="preserve"> </w:t>
            </w:r>
            <w:r w:rsidRPr="00FA4BAD">
              <w:rPr>
                <w:b/>
                <w:spacing w:val="-1"/>
              </w:rPr>
              <w:t>Projected</w:t>
            </w:r>
            <w:r w:rsidRPr="00FA4BAD">
              <w:rPr>
                <w:b/>
                <w:spacing w:val="25"/>
              </w:rPr>
              <w:t xml:space="preserve"> </w:t>
            </w:r>
            <w:r w:rsidRPr="00FA4BAD">
              <w:rPr>
                <w:b/>
                <w:spacing w:val="-1"/>
              </w:rPr>
              <w:t>Claims</w:t>
            </w:r>
            <w:r w:rsidRPr="00FA4BAD">
              <w:rPr>
                <w:b/>
                <w:spacing w:val="-1"/>
              </w:rPr>
              <w:br/>
            </w:r>
          </w:p>
        </w:tc>
        <w:tc>
          <w:tcPr>
            <w:tcW w:w="2088" w:type="dxa"/>
            <w:tcBorders>
              <w:top w:val="single" w:sz="5" w:space="0" w:color="000000"/>
              <w:left w:val="single" w:sz="5" w:space="0" w:color="000000"/>
              <w:bottom w:val="nil"/>
              <w:right w:val="single" w:sz="5" w:space="0" w:color="000000"/>
            </w:tcBorders>
            <w:shd w:val="clear" w:color="auto" w:fill="D9D9D9"/>
            <w:vAlign w:val="center"/>
          </w:tcPr>
          <w:p w:rsidR="008958FB" w:rsidRPr="00FA4BAD" w:rsidRDefault="008958FB" w:rsidP="00777365">
            <w:pPr>
              <w:pStyle w:val="TableParagraph"/>
              <w:spacing w:line="264" w:lineRule="exact"/>
              <w:jc w:val="center"/>
              <w:rPr>
                <w:rFonts w:eastAsia="Calibri" w:cs="Calibri"/>
              </w:rPr>
            </w:pPr>
            <w:r w:rsidRPr="00FA4BAD">
              <w:rPr>
                <w:b/>
                <w:spacing w:val="-1"/>
              </w:rPr>
              <w:t xml:space="preserve">Performance </w:t>
            </w:r>
            <w:r w:rsidRPr="00FA4BAD">
              <w:rPr>
                <w:b/>
              </w:rPr>
              <w:t xml:space="preserve">Rating </w:t>
            </w:r>
            <w:r w:rsidRPr="00FA4BAD">
              <w:rPr>
                <w:b/>
                <w:spacing w:val="-1"/>
              </w:rPr>
              <w:t>Adjustment*</w:t>
            </w:r>
            <w:r w:rsidRPr="00FA4BAD">
              <w:rPr>
                <w:b/>
                <w:spacing w:val="-1"/>
              </w:rPr>
              <w:br/>
            </w:r>
            <w:r w:rsidRPr="00FA4BAD">
              <w:rPr>
                <w:b/>
              </w:rPr>
              <w:t>(8/8</w:t>
            </w:r>
            <w:r w:rsidRPr="00FA4BAD">
              <w:rPr>
                <w:b/>
                <w:spacing w:val="-16"/>
              </w:rPr>
              <w:t xml:space="preserve"> </w:t>
            </w:r>
            <w:r w:rsidRPr="00FA4BAD">
              <w:rPr>
                <w:b/>
              </w:rPr>
              <w:t>performance</w:t>
            </w:r>
            <w:r w:rsidRPr="00FA4BAD">
              <w:rPr>
                <w:b/>
                <w:w w:val="99"/>
              </w:rPr>
              <w:t xml:space="preserve"> </w:t>
            </w:r>
            <w:r w:rsidRPr="00FA4BAD">
              <w:rPr>
                <w:b/>
              </w:rPr>
              <w:t>standards</w:t>
            </w:r>
            <w:r w:rsidRPr="00FA4BAD">
              <w:rPr>
                <w:b/>
                <w:spacing w:val="-8"/>
              </w:rPr>
              <w:t xml:space="preserve"> </w:t>
            </w:r>
            <w:r w:rsidRPr="00FA4BAD">
              <w:rPr>
                <w:b/>
              </w:rPr>
              <w:t>=</w:t>
            </w:r>
            <w:r w:rsidRPr="00FA4BAD">
              <w:rPr>
                <w:b/>
                <w:spacing w:val="-7"/>
              </w:rPr>
              <w:t xml:space="preserve"> </w:t>
            </w:r>
            <w:r w:rsidRPr="00FA4BAD">
              <w:rPr>
                <w:b/>
              </w:rPr>
              <w:t>15%</w:t>
            </w:r>
            <w:r w:rsidRPr="00FA4BAD">
              <w:rPr>
                <w:b/>
                <w:spacing w:val="21"/>
                <w:w w:val="99"/>
              </w:rPr>
              <w:t xml:space="preserve"> </w:t>
            </w:r>
            <w:r w:rsidRPr="00FA4BAD">
              <w:rPr>
                <w:b/>
                <w:spacing w:val="-1"/>
              </w:rPr>
              <w:t>increase,</w:t>
            </w:r>
            <w:r w:rsidRPr="00FA4BAD">
              <w:rPr>
                <w:b/>
                <w:spacing w:val="-7"/>
              </w:rPr>
              <w:t xml:space="preserve"> </w:t>
            </w:r>
            <w:r w:rsidRPr="00FA4BAD">
              <w:rPr>
                <w:b/>
              </w:rPr>
              <w:t>7/8</w:t>
            </w:r>
            <w:r w:rsidRPr="00FA4BAD">
              <w:rPr>
                <w:b/>
                <w:spacing w:val="-6"/>
              </w:rPr>
              <w:t xml:space="preserve"> </w:t>
            </w:r>
            <w:r w:rsidRPr="00FA4BAD">
              <w:rPr>
                <w:b/>
              </w:rPr>
              <w:t>=</w:t>
            </w:r>
            <w:r w:rsidRPr="00FA4BAD">
              <w:rPr>
                <w:b/>
                <w:spacing w:val="-6"/>
              </w:rPr>
              <w:t xml:space="preserve"> </w:t>
            </w:r>
            <w:r w:rsidRPr="00FA4BAD">
              <w:rPr>
                <w:b/>
              </w:rPr>
              <w:t>10%, 6/8</w:t>
            </w:r>
            <w:r w:rsidRPr="00FA4BAD">
              <w:rPr>
                <w:b/>
                <w:spacing w:val="-3"/>
              </w:rPr>
              <w:t xml:space="preserve"> </w:t>
            </w:r>
            <w:r w:rsidRPr="00FA4BAD">
              <w:rPr>
                <w:b/>
              </w:rPr>
              <w:t>=</w:t>
            </w:r>
            <w:r w:rsidRPr="00FA4BAD">
              <w:rPr>
                <w:b/>
                <w:spacing w:val="-4"/>
              </w:rPr>
              <w:t xml:space="preserve"> </w:t>
            </w:r>
            <w:r w:rsidRPr="00FA4BAD">
              <w:rPr>
                <w:b/>
              </w:rPr>
              <w:t>5%,</w:t>
            </w:r>
            <w:r w:rsidRPr="00FA4BAD">
              <w:rPr>
                <w:b/>
                <w:spacing w:val="-5"/>
              </w:rPr>
              <w:t xml:space="preserve"> </w:t>
            </w:r>
            <w:r w:rsidRPr="00FA4BAD">
              <w:rPr>
                <w:b/>
              </w:rPr>
              <w:t>5/8</w:t>
            </w:r>
            <w:r w:rsidRPr="00FA4BAD">
              <w:rPr>
                <w:b/>
                <w:spacing w:val="-3"/>
              </w:rPr>
              <w:t xml:space="preserve"> </w:t>
            </w:r>
            <w:r w:rsidRPr="00FA4BAD">
              <w:rPr>
                <w:b/>
              </w:rPr>
              <w:t>= 0%, 4/8=</w:t>
            </w:r>
            <w:r w:rsidRPr="00FA4BAD">
              <w:rPr>
                <w:b/>
                <w:spacing w:val="37"/>
              </w:rPr>
              <w:t xml:space="preserve"> </w:t>
            </w:r>
            <w:r w:rsidRPr="00FA4BAD">
              <w:rPr>
                <w:b/>
                <w:spacing w:val="-1"/>
              </w:rPr>
              <w:t>-10%, 3/8 = -20%</w:t>
            </w:r>
          </w:p>
        </w:tc>
        <w:tc>
          <w:tcPr>
            <w:tcW w:w="1242" w:type="dxa"/>
            <w:tcBorders>
              <w:top w:val="single" w:sz="5" w:space="0" w:color="000000"/>
              <w:left w:val="single" w:sz="5" w:space="0" w:color="000000"/>
              <w:right w:val="single" w:sz="5" w:space="0" w:color="000000"/>
            </w:tcBorders>
            <w:shd w:val="clear" w:color="auto" w:fill="D9D9D9"/>
            <w:vAlign w:val="center"/>
          </w:tcPr>
          <w:p w:rsidR="008958FB" w:rsidRPr="00FA4BAD" w:rsidRDefault="008958FB" w:rsidP="00777365">
            <w:pPr>
              <w:pStyle w:val="TableParagraph"/>
              <w:spacing w:before="143"/>
              <w:jc w:val="center"/>
              <w:rPr>
                <w:rFonts w:eastAsia="Calibri" w:cs="Calibri"/>
              </w:rPr>
            </w:pPr>
            <w:r w:rsidRPr="00FA4BAD">
              <w:rPr>
                <w:b/>
                <w:spacing w:val="-1"/>
              </w:rPr>
              <w:t>SFY</w:t>
            </w:r>
            <w:r w:rsidRPr="00FA4BAD">
              <w:rPr>
                <w:b/>
              </w:rPr>
              <w:t xml:space="preserve"> </w:t>
            </w:r>
            <w:r w:rsidRPr="00FA4BAD">
              <w:rPr>
                <w:b/>
                <w:spacing w:val="-1"/>
              </w:rPr>
              <w:t>2019 Grant</w:t>
            </w:r>
            <w:r w:rsidRPr="00FA4BAD">
              <w:rPr>
                <w:b/>
              </w:rPr>
              <w:t xml:space="preserve"> </w:t>
            </w:r>
            <w:r w:rsidRPr="00FA4BAD">
              <w:rPr>
                <w:b/>
                <w:spacing w:val="-1"/>
              </w:rPr>
              <w:t>Award</w:t>
            </w:r>
          </w:p>
        </w:tc>
        <w:tc>
          <w:tcPr>
            <w:tcW w:w="1260" w:type="dxa"/>
            <w:tcBorders>
              <w:top w:val="single" w:sz="5" w:space="0" w:color="000000"/>
              <w:left w:val="single" w:sz="5" w:space="0" w:color="000000"/>
              <w:right w:val="single" w:sz="5" w:space="0" w:color="000000"/>
            </w:tcBorders>
            <w:shd w:val="clear" w:color="auto" w:fill="D9D9D9"/>
            <w:vAlign w:val="center"/>
          </w:tcPr>
          <w:p w:rsidR="008958FB" w:rsidRPr="00FA4BAD" w:rsidRDefault="008958FB" w:rsidP="00777365">
            <w:pPr>
              <w:pStyle w:val="TableParagraph"/>
              <w:spacing w:before="143"/>
              <w:jc w:val="center"/>
              <w:rPr>
                <w:rFonts w:eastAsia="Calibri" w:cs="Calibri"/>
              </w:rPr>
            </w:pPr>
            <w:r w:rsidRPr="00FA4BAD">
              <w:rPr>
                <w:b/>
                <w:spacing w:val="-1"/>
              </w:rPr>
              <w:t xml:space="preserve">Difference Plus/Minus </w:t>
            </w:r>
            <w:r w:rsidRPr="00FA4BAD">
              <w:rPr>
                <w:b/>
              </w:rPr>
              <w:t>in</w:t>
            </w:r>
            <w:r w:rsidRPr="00FA4BAD">
              <w:rPr>
                <w:b/>
                <w:spacing w:val="-1"/>
              </w:rPr>
              <w:t xml:space="preserve"> Award</w:t>
            </w:r>
          </w:p>
        </w:tc>
        <w:tc>
          <w:tcPr>
            <w:tcW w:w="1356" w:type="dxa"/>
            <w:tcBorders>
              <w:top w:val="single" w:sz="5" w:space="0" w:color="000000"/>
              <w:left w:val="single" w:sz="5" w:space="0" w:color="000000"/>
              <w:right w:val="single" w:sz="5" w:space="0" w:color="000000"/>
            </w:tcBorders>
            <w:shd w:val="clear" w:color="auto" w:fill="CCC0DA"/>
            <w:vAlign w:val="center"/>
          </w:tcPr>
          <w:p w:rsidR="008958FB" w:rsidRPr="00FA4BAD" w:rsidRDefault="008958FB" w:rsidP="00777365">
            <w:pPr>
              <w:pStyle w:val="TableParagraph"/>
              <w:spacing w:before="143"/>
              <w:jc w:val="center"/>
              <w:rPr>
                <w:rFonts w:eastAsia="Calibri" w:cs="Calibri"/>
              </w:rPr>
            </w:pPr>
            <w:r w:rsidRPr="00FA4BAD">
              <w:rPr>
                <w:b/>
                <w:spacing w:val="-1"/>
              </w:rPr>
              <w:t>Projected</w:t>
            </w:r>
            <w:r w:rsidRPr="00FA4BAD">
              <w:rPr>
                <w:b/>
                <w:spacing w:val="25"/>
              </w:rPr>
              <w:t xml:space="preserve"> </w:t>
            </w:r>
            <w:r w:rsidRPr="00FA4BAD">
              <w:rPr>
                <w:b/>
                <w:spacing w:val="-1"/>
              </w:rPr>
              <w:t xml:space="preserve">Need for </w:t>
            </w:r>
            <w:r w:rsidRPr="00FA4BAD">
              <w:rPr>
                <w:b/>
              </w:rPr>
              <w:t xml:space="preserve">FY20 </w:t>
            </w:r>
            <w:r w:rsidRPr="00FA4BAD">
              <w:rPr>
                <w:b/>
                <w:spacing w:val="-1"/>
              </w:rPr>
              <w:t>Award</w:t>
            </w:r>
          </w:p>
        </w:tc>
      </w:tr>
      <w:tr w:rsidR="008958FB" w:rsidRPr="004461B5" w:rsidTr="00777365">
        <w:trPr>
          <w:trHeight w:hRule="exact" w:val="310"/>
          <w:jc w:val="center"/>
        </w:trPr>
        <w:tc>
          <w:tcPr>
            <w:tcW w:w="1176" w:type="dxa"/>
            <w:tcBorders>
              <w:top w:val="single" w:sz="5" w:space="0" w:color="000000"/>
              <w:left w:val="single" w:sz="5" w:space="0" w:color="000000"/>
              <w:bottom w:val="single" w:sz="5" w:space="0" w:color="000000"/>
              <w:right w:val="single" w:sz="5" w:space="0" w:color="000000"/>
            </w:tcBorders>
          </w:tcPr>
          <w:p w:rsidR="008958FB" w:rsidRPr="004461B5" w:rsidRDefault="008958FB" w:rsidP="00777365">
            <w:bookmarkStart w:id="4" w:name="_GoBack"/>
            <w:bookmarkEnd w:id="4"/>
          </w:p>
        </w:tc>
        <w:tc>
          <w:tcPr>
            <w:tcW w:w="1440" w:type="dxa"/>
            <w:tcBorders>
              <w:top w:val="single" w:sz="5" w:space="0" w:color="000000"/>
              <w:left w:val="single" w:sz="5" w:space="0" w:color="000000"/>
              <w:bottom w:val="single" w:sz="5" w:space="0" w:color="000000"/>
              <w:right w:val="single" w:sz="5" w:space="0" w:color="000000"/>
            </w:tcBorders>
          </w:tcPr>
          <w:p w:rsidR="008958FB" w:rsidRPr="004461B5" w:rsidRDefault="008958FB" w:rsidP="00777365"/>
        </w:tc>
        <w:tc>
          <w:tcPr>
            <w:tcW w:w="1350" w:type="dxa"/>
            <w:tcBorders>
              <w:top w:val="single" w:sz="5" w:space="0" w:color="000000"/>
              <w:left w:val="single" w:sz="5" w:space="0" w:color="000000"/>
              <w:bottom w:val="single" w:sz="5" w:space="0" w:color="000000"/>
              <w:right w:val="single" w:sz="5" w:space="0" w:color="000000"/>
            </w:tcBorders>
          </w:tcPr>
          <w:p w:rsidR="008958FB" w:rsidRPr="004461B5" w:rsidRDefault="008958FB" w:rsidP="00777365"/>
        </w:tc>
        <w:tc>
          <w:tcPr>
            <w:tcW w:w="2088" w:type="dxa"/>
            <w:tcBorders>
              <w:top w:val="single" w:sz="5" w:space="0" w:color="000000"/>
              <w:left w:val="single" w:sz="5" w:space="0" w:color="000000"/>
              <w:bottom w:val="single" w:sz="5" w:space="0" w:color="000000"/>
              <w:right w:val="single" w:sz="5" w:space="0" w:color="000000"/>
            </w:tcBorders>
          </w:tcPr>
          <w:p w:rsidR="008958FB" w:rsidRPr="004461B5" w:rsidRDefault="008958FB" w:rsidP="00777365"/>
        </w:tc>
        <w:tc>
          <w:tcPr>
            <w:tcW w:w="1242" w:type="dxa"/>
            <w:tcBorders>
              <w:top w:val="single" w:sz="5" w:space="0" w:color="000000"/>
              <w:left w:val="single" w:sz="5" w:space="0" w:color="000000"/>
              <w:bottom w:val="single" w:sz="5" w:space="0" w:color="000000"/>
              <w:right w:val="single" w:sz="5" w:space="0" w:color="000000"/>
            </w:tcBorders>
          </w:tcPr>
          <w:p w:rsidR="008958FB" w:rsidRPr="004461B5" w:rsidRDefault="008958FB" w:rsidP="00777365"/>
        </w:tc>
        <w:tc>
          <w:tcPr>
            <w:tcW w:w="1260" w:type="dxa"/>
            <w:tcBorders>
              <w:top w:val="single" w:sz="5" w:space="0" w:color="000000"/>
              <w:left w:val="single" w:sz="5" w:space="0" w:color="000000"/>
              <w:bottom w:val="single" w:sz="5" w:space="0" w:color="000000"/>
              <w:right w:val="single" w:sz="5" w:space="0" w:color="000000"/>
            </w:tcBorders>
          </w:tcPr>
          <w:p w:rsidR="008958FB" w:rsidRPr="004461B5" w:rsidRDefault="008958FB" w:rsidP="00777365"/>
        </w:tc>
        <w:tc>
          <w:tcPr>
            <w:tcW w:w="1356" w:type="dxa"/>
            <w:tcBorders>
              <w:top w:val="single" w:sz="5" w:space="0" w:color="000000"/>
              <w:left w:val="single" w:sz="5" w:space="0" w:color="000000"/>
              <w:bottom w:val="single" w:sz="5" w:space="0" w:color="000000"/>
              <w:right w:val="single" w:sz="5" w:space="0" w:color="000000"/>
            </w:tcBorders>
            <w:shd w:val="clear" w:color="auto" w:fill="CCC0DA"/>
          </w:tcPr>
          <w:p w:rsidR="008958FB" w:rsidRPr="004461B5" w:rsidRDefault="008958FB" w:rsidP="00777365"/>
        </w:tc>
      </w:tr>
      <w:tr w:rsidR="008958FB" w:rsidRPr="004461B5" w:rsidTr="00777365">
        <w:trPr>
          <w:trHeight w:hRule="exact" w:val="310"/>
          <w:jc w:val="center"/>
        </w:trPr>
        <w:tc>
          <w:tcPr>
            <w:tcW w:w="1176" w:type="dxa"/>
            <w:tcBorders>
              <w:top w:val="single" w:sz="5" w:space="0" w:color="000000"/>
              <w:left w:val="single" w:sz="5" w:space="0" w:color="000000"/>
              <w:bottom w:val="single" w:sz="5" w:space="0" w:color="000000"/>
              <w:right w:val="single" w:sz="5" w:space="0" w:color="000000"/>
            </w:tcBorders>
          </w:tcPr>
          <w:p w:rsidR="008958FB" w:rsidRPr="004461B5" w:rsidRDefault="008958FB" w:rsidP="00777365"/>
        </w:tc>
        <w:tc>
          <w:tcPr>
            <w:tcW w:w="1440" w:type="dxa"/>
            <w:tcBorders>
              <w:top w:val="single" w:sz="5" w:space="0" w:color="000000"/>
              <w:left w:val="single" w:sz="5" w:space="0" w:color="000000"/>
              <w:bottom w:val="single" w:sz="5" w:space="0" w:color="000000"/>
              <w:right w:val="single" w:sz="5" w:space="0" w:color="000000"/>
            </w:tcBorders>
          </w:tcPr>
          <w:p w:rsidR="008958FB" w:rsidRPr="004461B5" w:rsidRDefault="008958FB" w:rsidP="00777365"/>
        </w:tc>
        <w:tc>
          <w:tcPr>
            <w:tcW w:w="1350" w:type="dxa"/>
            <w:tcBorders>
              <w:top w:val="single" w:sz="5" w:space="0" w:color="000000"/>
              <w:left w:val="single" w:sz="5" w:space="0" w:color="000000"/>
              <w:bottom w:val="single" w:sz="5" w:space="0" w:color="000000"/>
              <w:right w:val="single" w:sz="5" w:space="0" w:color="000000"/>
            </w:tcBorders>
          </w:tcPr>
          <w:p w:rsidR="008958FB" w:rsidRPr="004461B5" w:rsidRDefault="008958FB" w:rsidP="00777365"/>
        </w:tc>
        <w:tc>
          <w:tcPr>
            <w:tcW w:w="2088" w:type="dxa"/>
            <w:tcBorders>
              <w:top w:val="single" w:sz="5" w:space="0" w:color="000000"/>
              <w:left w:val="single" w:sz="5" w:space="0" w:color="000000"/>
              <w:bottom w:val="single" w:sz="5" w:space="0" w:color="000000"/>
              <w:right w:val="single" w:sz="5" w:space="0" w:color="000000"/>
            </w:tcBorders>
          </w:tcPr>
          <w:p w:rsidR="008958FB" w:rsidRPr="004461B5" w:rsidRDefault="008958FB" w:rsidP="00777365"/>
        </w:tc>
        <w:tc>
          <w:tcPr>
            <w:tcW w:w="1242" w:type="dxa"/>
            <w:tcBorders>
              <w:top w:val="single" w:sz="5" w:space="0" w:color="000000"/>
              <w:left w:val="single" w:sz="5" w:space="0" w:color="000000"/>
              <w:bottom w:val="single" w:sz="5" w:space="0" w:color="000000"/>
              <w:right w:val="single" w:sz="5" w:space="0" w:color="000000"/>
            </w:tcBorders>
          </w:tcPr>
          <w:p w:rsidR="008958FB" w:rsidRPr="004461B5" w:rsidRDefault="008958FB" w:rsidP="00777365"/>
        </w:tc>
        <w:tc>
          <w:tcPr>
            <w:tcW w:w="1260" w:type="dxa"/>
            <w:tcBorders>
              <w:top w:val="single" w:sz="5" w:space="0" w:color="000000"/>
              <w:left w:val="single" w:sz="5" w:space="0" w:color="000000"/>
              <w:bottom w:val="single" w:sz="5" w:space="0" w:color="000000"/>
              <w:right w:val="single" w:sz="5" w:space="0" w:color="000000"/>
            </w:tcBorders>
          </w:tcPr>
          <w:p w:rsidR="008958FB" w:rsidRPr="004461B5" w:rsidRDefault="008958FB" w:rsidP="00777365"/>
        </w:tc>
        <w:tc>
          <w:tcPr>
            <w:tcW w:w="1356" w:type="dxa"/>
            <w:tcBorders>
              <w:top w:val="single" w:sz="5" w:space="0" w:color="000000"/>
              <w:left w:val="single" w:sz="5" w:space="0" w:color="000000"/>
              <w:bottom w:val="single" w:sz="5" w:space="0" w:color="000000"/>
              <w:right w:val="single" w:sz="5" w:space="0" w:color="000000"/>
            </w:tcBorders>
            <w:shd w:val="clear" w:color="auto" w:fill="CCC0DA"/>
          </w:tcPr>
          <w:p w:rsidR="008958FB" w:rsidRPr="004461B5" w:rsidRDefault="008958FB" w:rsidP="00777365"/>
        </w:tc>
      </w:tr>
      <w:tr w:rsidR="008958FB" w:rsidRPr="004461B5" w:rsidTr="00777365">
        <w:trPr>
          <w:trHeight w:hRule="exact" w:val="310"/>
          <w:jc w:val="center"/>
        </w:trPr>
        <w:tc>
          <w:tcPr>
            <w:tcW w:w="1176" w:type="dxa"/>
            <w:tcBorders>
              <w:top w:val="single" w:sz="5" w:space="0" w:color="000000"/>
              <w:left w:val="single" w:sz="5" w:space="0" w:color="000000"/>
              <w:bottom w:val="single" w:sz="5" w:space="0" w:color="000000"/>
              <w:right w:val="single" w:sz="5" w:space="0" w:color="000000"/>
            </w:tcBorders>
          </w:tcPr>
          <w:p w:rsidR="008958FB" w:rsidRPr="004461B5" w:rsidRDefault="008958FB" w:rsidP="00777365"/>
        </w:tc>
        <w:tc>
          <w:tcPr>
            <w:tcW w:w="1440" w:type="dxa"/>
            <w:tcBorders>
              <w:top w:val="single" w:sz="5" w:space="0" w:color="000000"/>
              <w:left w:val="single" w:sz="5" w:space="0" w:color="000000"/>
              <w:bottom w:val="single" w:sz="5" w:space="0" w:color="000000"/>
              <w:right w:val="single" w:sz="5" w:space="0" w:color="000000"/>
            </w:tcBorders>
          </w:tcPr>
          <w:p w:rsidR="008958FB" w:rsidRPr="004461B5" w:rsidRDefault="008958FB" w:rsidP="00777365"/>
        </w:tc>
        <w:tc>
          <w:tcPr>
            <w:tcW w:w="1350" w:type="dxa"/>
            <w:tcBorders>
              <w:top w:val="single" w:sz="5" w:space="0" w:color="000000"/>
              <w:left w:val="single" w:sz="5" w:space="0" w:color="000000"/>
              <w:bottom w:val="single" w:sz="5" w:space="0" w:color="000000"/>
              <w:right w:val="single" w:sz="5" w:space="0" w:color="000000"/>
            </w:tcBorders>
          </w:tcPr>
          <w:p w:rsidR="008958FB" w:rsidRPr="004461B5" w:rsidRDefault="008958FB" w:rsidP="00777365"/>
        </w:tc>
        <w:tc>
          <w:tcPr>
            <w:tcW w:w="2088" w:type="dxa"/>
            <w:tcBorders>
              <w:top w:val="single" w:sz="5" w:space="0" w:color="000000"/>
              <w:left w:val="single" w:sz="5" w:space="0" w:color="000000"/>
              <w:bottom w:val="single" w:sz="5" w:space="0" w:color="000000"/>
              <w:right w:val="single" w:sz="5" w:space="0" w:color="000000"/>
            </w:tcBorders>
          </w:tcPr>
          <w:p w:rsidR="008958FB" w:rsidRPr="004461B5" w:rsidRDefault="008958FB" w:rsidP="00777365"/>
        </w:tc>
        <w:tc>
          <w:tcPr>
            <w:tcW w:w="1242" w:type="dxa"/>
            <w:tcBorders>
              <w:top w:val="single" w:sz="5" w:space="0" w:color="000000"/>
              <w:left w:val="single" w:sz="5" w:space="0" w:color="000000"/>
              <w:bottom w:val="single" w:sz="5" w:space="0" w:color="000000"/>
              <w:right w:val="single" w:sz="5" w:space="0" w:color="000000"/>
            </w:tcBorders>
          </w:tcPr>
          <w:p w:rsidR="008958FB" w:rsidRPr="004461B5" w:rsidRDefault="008958FB" w:rsidP="00777365"/>
        </w:tc>
        <w:tc>
          <w:tcPr>
            <w:tcW w:w="1260" w:type="dxa"/>
            <w:tcBorders>
              <w:top w:val="single" w:sz="5" w:space="0" w:color="000000"/>
              <w:left w:val="single" w:sz="5" w:space="0" w:color="000000"/>
              <w:bottom w:val="single" w:sz="5" w:space="0" w:color="000000"/>
              <w:right w:val="single" w:sz="5" w:space="0" w:color="000000"/>
            </w:tcBorders>
          </w:tcPr>
          <w:p w:rsidR="008958FB" w:rsidRPr="004461B5" w:rsidRDefault="008958FB" w:rsidP="00777365"/>
        </w:tc>
        <w:tc>
          <w:tcPr>
            <w:tcW w:w="1356" w:type="dxa"/>
            <w:tcBorders>
              <w:top w:val="single" w:sz="5" w:space="0" w:color="000000"/>
              <w:left w:val="single" w:sz="5" w:space="0" w:color="000000"/>
              <w:bottom w:val="single" w:sz="5" w:space="0" w:color="000000"/>
              <w:right w:val="single" w:sz="5" w:space="0" w:color="000000"/>
            </w:tcBorders>
            <w:shd w:val="clear" w:color="auto" w:fill="CCC0DA"/>
          </w:tcPr>
          <w:p w:rsidR="008958FB" w:rsidRPr="004461B5" w:rsidRDefault="008958FB" w:rsidP="00777365"/>
        </w:tc>
      </w:tr>
      <w:tr w:rsidR="008958FB" w:rsidRPr="004461B5" w:rsidTr="00777365">
        <w:trPr>
          <w:trHeight w:hRule="exact" w:val="310"/>
          <w:jc w:val="center"/>
        </w:trPr>
        <w:tc>
          <w:tcPr>
            <w:tcW w:w="1176" w:type="dxa"/>
            <w:tcBorders>
              <w:top w:val="single" w:sz="5" w:space="0" w:color="000000"/>
              <w:left w:val="single" w:sz="5" w:space="0" w:color="000000"/>
              <w:bottom w:val="single" w:sz="5" w:space="0" w:color="000000"/>
              <w:right w:val="single" w:sz="5" w:space="0" w:color="000000"/>
            </w:tcBorders>
          </w:tcPr>
          <w:p w:rsidR="008958FB" w:rsidRPr="004461B5" w:rsidRDefault="008958FB" w:rsidP="00777365"/>
        </w:tc>
        <w:tc>
          <w:tcPr>
            <w:tcW w:w="1440" w:type="dxa"/>
            <w:tcBorders>
              <w:top w:val="single" w:sz="5" w:space="0" w:color="000000"/>
              <w:left w:val="single" w:sz="5" w:space="0" w:color="000000"/>
              <w:bottom w:val="single" w:sz="5" w:space="0" w:color="000000"/>
              <w:right w:val="single" w:sz="5" w:space="0" w:color="000000"/>
            </w:tcBorders>
          </w:tcPr>
          <w:p w:rsidR="008958FB" w:rsidRPr="004461B5" w:rsidRDefault="008958FB" w:rsidP="00777365"/>
        </w:tc>
        <w:tc>
          <w:tcPr>
            <w:tcW w:w="1350" w:type="dxa"/>
            <w:tcBorders>
              <w:top w:val="single" w:sz="5" w:space="0" w:color="000000"/>
              <w:left w:val="single" w:sz="5" w:space="0" w:color="000000"/>
              <w:bottom w:val="single" w:sz="5" w:space="0" w:color="000000"/>
              <w:right w:val="single" w:sz="5" w:space="0" w:color="000000"/>
            </w:tcBorders>
          </w:tcPr>
          <w:p w:rsidR="008958FB" w:rsidRPr="004461B5" w:rsidRDefault="008958FB" w:rsidP="00777365"/>
        </w:tc>
        <w:tc>
          <w:tcPr>
            <w:tcW w:w="2088" w:type="dxa"/>
            <w:tcBorders>
              <w:top w:val="single" w:sz="5" w:space="0" w:color="000000"/>
              <w:left w:val="single" w:sz="5" w:space="0" w:color="000000"/>
              <w:bottom w:val="single" w:sz="5" w:space="0" w:color="000000"/>
              <w:right w:val="single" w:sz="5" w:space="0" w:color="000000"/>
            </w:tcBorders>
          </w:tcPr>
          <w:p w:rsidR="008958FB" w:rsidRPr="004461B5" w:rsidRDefault="008958FB" w:rsidP="00777365"/>
        </w:tc>
        <w:tc>
          <w:tcPr>
            <w:tcW w:w="1242" w:type="dxa"/>
            <w:tcBorders>
              <w:top w:val="single" w:sz="5" w:space="0" w:color="000000"/>
              <w:left w:val="single" w:sz="5" w:space="0" w:color="000000"/>
              <w:bottom w:val="single" w:sz="5" w:space="0" w:color="000000"/>
              <w:right w:val="single" w:sz="5" w:space="0" w:color="000000"/>
            </w:tcBorders>
          </w:tcPr>
          <w:p w:rsidR="008958FB" w:rsidRPr="004461B5" w:rsidRDefault="008958FB" w:rsidP="00777365"/>
        </w:tc>
        <w:tc>
          <w:tcPr>
            <w:tcW w:w="1260" w:type="dxa"/>
            <w:tcBorders>
              <w:top w:val="single" w:sz="5" w:space="0" w:color="000000"/>
              <w:left w:val="single" w:sz="5" w:space="0" w:color="000000"/>
              <w:bottom w:val="single" w:sz="5" w:space="0" w:color="000000"/>
              <w:right w:val="single" w:sz="5" w:space="0" w:color="000000"/>
            </w:tcBorders>
          </w:tcPr>
          <w:p w:rsidR="008958FB" w:rsidRPr="004461B5" w:rsidRDefault="008958FB" w:rsidP="00777365"/>
        </w:tc>
        <w:tc>
          <w:tcPr>
            <w:tcW w:w="1356" w:type="dxa"/>
            <w:tcBorders>
              <w:top w:val="single" w:sz="5" w:space="0" w:color="000000"/>
              <w:left w:val="single" w:sz="5" w:space="0" w:color="000000"/>
              <w:bottom w:val="single" w:sz="5" w:space="0" w:color="000000"/>
              <w:right w:val="single" w:sz="5" w:space="0" w:color="000000"/>
            </w:tcBorders>
            <w:shd w:val="clear" w:color="auto" w:fill="CCC0DA"/>
          </w:tcPr>
          <w:p w:rsidR="008958FB" w:rsidRPr="004461B5" w:rsidRDefault="008958FB" w:rsidP="00777365"/>
        </w:tc>
      </w:tr>
      <w:tr w:rsidR="008958FB" w:rsidRPr="004461B5" w:rsidTr="00777365">
        <w:trPr>
          <w:trHeight w:hRule="exact" w:val="310"/>
          <w:jc w:val="center"/>
        </w:trPr>
        <w:tc>
          <w:tcPr>
            <w:tcW w:w="1176" w:type="dxa"/>
            <w:tcBorders>
              <w:top w:val="single" w:sz="5" w:space="0" w:color="000000"/>
              <w:left w:val="single" w:sz="5" w:space="0" w:color="000000"/>
              <w:bottom w:val="single" w:sz="5" w:space="0" w:color="000000"/>
              <w:right w:val="single" w:sz="5" w:space="0" w:color="000000"/>
            </w:tcBorders>
          </w:tcPr>
          <w:p w:rsidR="008958FB" w:rsidRPr="004461B5" w:rsidRDefault="008958FB" w:rsidP="00777365"/>
        </w:tc>
        <w:tc>
          <w:tcPr>
            <w:tcW w:w="1440" w:type="dxa"/>
            <w:tcBorders>
              <w:top w:val="single" w:sz="5" w:space="0" w:color="000000"/>
              <w:left w:val="single" w:sz="5" w:space="0" w:color="000000"/>
              <w:bottom w:val="single" w:sz="5" w:space="0" w:color="000000"/>
              <w:right w:val="single" w:sz="5" w:space="0" w:color="000000"/>
            </w:tcBorders>
          </w:tcPr>
          <w:p w:rsidR="008958FB" w:rsidRPr="004461B5" w:rsidRDefault="008958FB" w:rsidP="00777365"/>
        </w:tc>
        <w:tc>
          <w:tcPr>
            <w:tcW w:w="1350" w:type="dxa"/>
            <w:tcBorders>
              <w:top w:val="single" w:sz="5" w:space="0" w:color="000000"/>
              <w:left w:val="single" w:sz="5" w:space="0" w:color="000000"/>
              <w:bottom w:val="single" w:sz="5" w:space="0" w:color="000000"/>
              <w:right w:val="single" w:sz="5" w:space="0" w:color="000000"/>
            </w:tcBorders>
          </w:tcPr>
          <w:p w:rsidR="008958FB" w:rsidRPr="004461B5" w:rsidRDefault="008958FB" w:rsidP="00777365"/>
        </w:tc>
        <w:tc>
          <w:tcPr>
            <w:tcW w:w="2088" w:type="dxa"/>
            <w:tcBorders>
              <w:top w:val="single" w:sz="5" w:space="0" w:color="000000"/>
              <w:left w:val="single" w:sz="5" w:space="0" w:color="000000"/>
              <w:bottom w:val="single" w:sz="5" w:space="0" w:color="000000"/>
              <w:right w:val="single" w:sz="5" w:space="0" w:color="000000"/>
            </w:tcBorders>
          </w:tcPr>
          <w:p w:rsidR="008958FB" w:rsidRPr="004461B5" w:rsidRDefault="008958FB" w:rsidP="00777365"/>
        </w:tc>
        <w:tc>
          <w:tcPr>
            <w:tcW w:w="1242" w:type="dxa"/>
            <w:tcBorders>
              <w:top w:val="single" w:sz="5" w:space="0" w:color="000000"/>
              <w:left w:val="single" w:sz="5" w:space="0" w:color="000000"/>
              <w:bottom w:val="single" w:sz="5" w:space="0" w:color="000000"/>
              <w:right w:val="single" w:sz="5" w:space="0" w:color="000000"/>
            </w:tcBorders>
          </w:tcPr>
          <w:p w:rsidR="008958FB" w:rsidRPr="004461B5" w:rsidRDefault="008958FB" w:rsidP="00777365"/>
        </w:tc>
        <w:tc>
          <w:tcPr>
            <w:tcW w:w="1260" w:type="dxa"/>
            <w:tcBorders>
              <w:top w:val="single" w:sz="5" w:space="0" w:color="000000"/>
              <w:left w:val="single" w:sz="5" w:space="0" w:color="000000"/>
              <w:bottom w:val="single" w:sz="5" w:space="0" w:color="000000"/>
              <w:right w:val="single" w:sz="5" w:space="0" w:color="000000"/>
            </w:tcBorders>
          </w:tcPr>
          <w:p w:rsidR="008958FB" w:rsidRPr="004461B5" w:rsidRDefault="008958FB" w:rsidP="00777365"/>
        </w:tc>
        <w:tc>
          <w:tcPr>
            <w:tcW w:w="1356" w:type="dxa"/>
            <w:tcBorders>
              <w:top w:val="single" w:sz="5" w:space="0" w:color="000000"/>
              <w:left w:val="single" w:sz="5" w:space="0" w:color="000000"/>
              <w:bottom w:val="single" w:sz="5" w:space="0" w:color="000000"/>
              <w:right w:val="single" w:sz="5" w:space="0" w:color="000000"/>
            </w:tcBorders>
            <w:shd w:val="clear" w:color="auto" w:fill="CCC0DA"/>
          </w:tcPr>
          <w:p w:rsidR="008958FB" w:rsidRPr="004461B5" w:rsidRDefault="008958FB" w:rsidP="00777365"/>
        </w:tc>
      </w:tr>
      <w:tr w:rsidR="008958FB" w:rsidRPr="004461B5" w:rsidTr="00777365">
        <w:trPr>
          <w:trHeight w:hRule="exact" w:val="520"/>
          <w:jc w:val="center"/>
        </w:trPr>
        <w:tc>
          <w:tcPr>
            <w:tcW w:w="1176" w:type="dxa"/>
            <w:tcBorders>
              <w:top w:val="single" w:sz="5" w:space="0" w:color="000000"/>
              <w:left w:val="single" w:sz="5" w:space="0" w:color="000000"/>
              <w:bottom w:val="single" w:sz="5" w:space="0" w:color="000000"/>
              <w:right w:val="single" w:sz="5" w:space="0" w:color="000000"/>
            </w:tcBorders>
            <w:shd w:val="clear" w:color="auto" w:fill="D9D9D9"/>
          </w:tcPr>
          <w:p w:rsidR="008958FB" w:rsidRPr="00FA4BAD" w:rsidRDefault="008958FB" w:rsidP="00777365">
            <w:pPr>
              <w:pStyle w:val="TableParagraph"/>
              <w:spacing w:before="55"/>
              <w:rPr>
                <w:rFonts w:eastAsia="Calibri" w:cs="Calibri"/>
              </w:rPr>
            </w:pPr>
            <w:r w:rsidRPr="00FA4BAD">
              <w:rPr>
                <w:b/>
                <w:spacing w:val="-1"/>
              </w:rPr>
              <w:t>TOTALS</w:t>
            </w:r>
          </w:p>
        </w:tc>
        <w:tc>
          <w:tcPr>
            <w:tcW w:w="1440" w:type="dxa"/>
            <w:tcBorders>
              <w:top w:val="single" w:sz="5" w:space="0" w:color="000000"/>
              <w:left w:val="single" w:sz="5" w:space="0" w:color="000000"/>
              <w:bottom w:val="single" w:sz="5" w:space="0" w:color="000000"/>
              <w:right w:val="single" w:sz="5" w:space="0" w:color="000000"/>
            </w:tcBorders>
            <w:shd w:val="clear" w:color="auto" w:fill="D9D9D9"/>
          </w:tcPr>
          <w:p w:rsidR="008958FB" w:rsidRPr="00FA4BAD" w:rsidRDefault="008958FB" w:rsidP="00777365"/>
        </w:tc>
        <w:tc>
          <w:tcPr>
            <w:tcW w:w="1350" w:type="dxa"/>
            <w:tcBorders>
              <w:top w:val="single" w:sz="5" w:space="0" w:color="000000"/>
              <w:left w:val="single" w:sz="5" w:space="0" w:color="000000"/>
              <w:bottom w:val="single" w:sz="5" w:space="0" w:color="000000"/>
              <w:right w:val="single" w:sz="5" w:space="0" w:color="000000"/>
            </w:tcBorders>
            <w:shd w:val="clear" w:color="auto" w:fill="D9D9D9"/>
          </w:tcPr>
          <w:p w:rsidR="008958FB" w:rsidRPr="00FA4BAD" w:rsidRDefault="008958FB" w:rsidP="00777365"/>
        </w:tc>
        <w:tc>
          <w:tcPr>
            <w:tcW w:w="2088" w:type="dxa"/>
            <w:tcBorders>
              <w:top w:val="single" w:sz="5" w:space="0" w:color="000000"/>
              <w:left w:val="single" w:sz="5" w:space="0" w:color="000000"/>
              <w:bottom w:val="single" w:sz="5" w:space="0" w:color="000000"/>
              <w:right w:val="single" w:sz="5" w:space="0" w:color="000000"/>
            </w:tcBorders>
            <w:shd w:val="clear" w:color="auto" w:fill="D9D9D9"/>
          </w:tcPr>
          <w:p w:rsidR="008958FB" w:rsidRPr="00FA4BAD" w:rsidRDefault="008958FB" w:rsidP="00777365"/>
        </w:tc>
        <w:tc>
          <w:tcPr>
            <w:tcW w:w="1242" w:type="dxa"/>
            <w:tcBorders>
              <w:top w:val="single" w:sz="5" w:space="0" w:color="000000"/>
              <w:left w:val="single" w:sz="5" w:space="0" w:color="000000"/>
              <w:bottom w:val="single" w:sz="5" w:space="0" w:color="000000"/>
              <w:right w:val="single" w:sz="5" w:space="0" w:color="000000"/>
            </w:tcBorders>
            <w:shd w:val="clear" w:color="auto" w:fill="D9D9D9"/>
          </w:tcPr>
          <w:p w:rsidR="008958FB" w:rsidRPr="00FA4BAD" w:rsidRDefault="008958FB" w:rsidP="00777365"/>
        </w:tc>
        <w:tc>
          <w:tcPr>
            <w:tcW w:w="1260" w:type="dxa"/>
            <w:tcBorders>
              <w:top w:val="single" w:sz="5" w:space="0" w:color="000000"/>
              <w:left w:val="single" w:sz="5" w:space="0" w:color="000000"/>
              <w:bottom w:val="single" w:sz="5" w:space="0" w:color="000000"/>
              <w:right w:val="single" w:sz="5" w:space="0" w:color="000000"/>
            </w:tcBorders>
            <w:shd w:val="clear" w:color="auto" w:fill="D9D9D9"/>
          </w:tcPr>
          <w:p w:rsidR="008958FB" w:rsidRPr="004461B5" w:rsidRDefault="008958FB" w:rsidP="00777365"/>
        </w:tc>
        <w:tc>
          <w:tcPr>
            <w:tcW w:w="1356" w:type="dxa"/>
            <w:tcBorders>
              <w:top w:val="single" w:sz="5" w:space="0" w:color="000000"/>
              <w:left w:val="single" w:sz="5" w:space="0" w:color="000000"/>
              <w:bottom w:val="single" w:sz="5" w:space="0" w:color="000000"/>
              <w:right w:val="single" w:sz="5" w:space="0" w:color="000000"/>
            </w:tcBorders>
            <w:shd w:val="clear" w:color="auto" w:fill="CCC0DA"/>
          </w:tcPr>
          <w:p w:rsidR="008958FB" w:rsidRPr="004461B5" w:rsidRDefault="008958FB" w:rsidP="00777365"/>
        </w:tc>
      </w:tr>
      <w:tr w:rsidR="008958FB" w:rsidRPr="004461B5" w:rsidTr="00777365">
        <w:trPr>
          <w:trHeight w:hRule="exact" w:val="497"/>
          <w:jc w:val="center"/>
        </w:trPr>
        <w:tc>
          <w:tcPr>
            <w:tcW w:w="7296" w:type="dxa"/>
            <w:gridSpan w:val="5"/>
            <w:tcBorders>
              <w:top w:val="single" w:sz="5" w:space="0" w:color="000000"/>
              <w:left w:val="single" w:sz="5" w:space="0" w:color="000000"/>
              <w:bottom w:val="single" w:sz="5" w:space="0" w:color="000000"/>
              <w:right w:val="single" w:sz="5" w:space="0" w:color="000000"/>
            </w:tcBorders>
            <w:shd w:val="clear" w:color="auto" w:fill="D9D9D9"/>
            <w:vAlign w:val="center"/>
          </w:tcPr>
          <w:p w:rsidR="008958FB" w:rsidRPr="00FA4BAD" w:rsidRDefault="008958FB" w:rsidP="00777365">
            <w:pPr>
              <w:pStyle w:val="TableParagraph"/>
              <w:jc w:val="right"/>
              <w:rPr>
                <w:rFonts w:eastAsia="Calibri" w:cs="Calibri"/>
              </w:rPr>
            </w:pPr>
            <w:r w:rsidRPr="00FA4BAD">
              <w:rPr>
                <w:b/>
                <w:spacing w:val="-1"/>
                <w:w w:val="95"/>
              </w:rPr>
              <w:t>Total Funding Available</w:t>
            </w:r>
          </w:p>
        </w:tc>
        <w:tc>
          <w:tcPr>
            <w:tcW w:w="1260" w:type="dxa"/>
            <w:tcBorders>
              <w:top w:val="single" w:sz="5" w:space="0" w:color="000000"/>
              <w:left w:val="single" w:sz="5" w:space="0" w:color="000000"/>
              <w:bottom w:val="single" w:sz="5" w:space="0" w:color="000000"/>
              <w:right w:val="single" w:sz="5" w:space="0" w:color="000000"/>
            </w:tcBorders>
            <w:shd w:val="clear" w:color="auto" w:fill="D9D9D9"/>
          </w:tcPr>
          <w:p w:rsidR="008958FB" w:rsidRPr="004461B5" w:rsidRDefault="008958FB" w:rsidP="00777365"/>
        </w:tc>
        <w:tc>
          <w:tcPr>
            <w:tcW w:w="1356" w:type="dxa"/>
            <w:tcBorders>
              <w:top w:val="single" w:sz="5" w:space="0" w:color="000000"/>
              <w:left w:val="single" w:sz="5" w:space="0" w:color="000000"/>
              <w:bottom w:val="single" w:sz="5" w:space="0" w:color="000000"/>
              <w:right w:val="single" w:sz="5" w:space="0" w:color="000000"/>
            </w:tcBorders>
            <w:shd w:val="clear" w:color="auto" w:fill="D9D9D9"/>
          </w:tcPr>
          <w:p w:rsidR="008958FB" w:rsidRPr="004461B5" w:rsidRDefault="008958FB" w:rsidP="00777365"/>
        </w:tc>
      </w:tr>
      <w:tr w:rsidR="008958FB" w:rsidRPr="004461B5" w:rsidTr="00777365">
        <w:trPr>
          <w:trHeight w:hRule="exact" w:val="1240"/>
          <w:jc w:val="center"/>
        </w:trPr>
        <w:tc>
          <w:tcPr>
            <w:tcW w:w="7296" w:type="dxa"/>
            <w:gridSpan w:val="5"/>
            <w:tcBorders>
              <w:top w:val="single" w:sz="5" w:space="0" w:color="000000"/>
              <w:left w:val="single" w:sz="5" w:space="0" w:color="000000"/>
              <w:bottom w:val="single" w:sz="5" w:space="0" w:color="000000"/>
              <w:right w:val="single" w:sz="5" w:space="0" w:color="000000"/>
            </w:tcBorders>
            <w:shd w:val="clear" w:color="auto" w:fill="D9D9D9"/>
          </w:tcPr>
          <w:p w:rsidR="008958FB" w:rsidRPr="00FA4BAD" w:rsidRDefault="008958FB" w:rsidP="00777365">
            <w:pPr>
              <w:pStyle w:val="TableParagraph"/>
              <w:spacing w:line="242" w:lineRule="exact"/>
              <w:rPr>
                <w:b/>
                <w:spacing w:val="-1"/>
              </w:rPr>
            </w:pPr>
            <w:r w:rsidRPr="00FA4BAD">
              <w:rPr>
                <w:b/>
                <w:spacing w:val="-1"/>
              </w:rPr>
              <w:t>Difference</w:t>
            </w:r>
            <w:r w:rsidRPr="00FA4BAD">
              <w:rPr>
                <w:b/>
                <w:spacing w:val="-6"/>
              </w:rPr>
              <w:t xml:space="preserve"> </w:t>
            </w:r>
            <w:r w:rsidRPr="00FA4BAD">
              <w:rPr>
                <w:b/>
                <w:i/>
              </w:rPr>
              <w:t>(Total</w:t>
            </w:r>
            <w:r w:rsidRPr="00FA4BAD">
              <w:rPr>
                <w:b/>
                <w:i/>
                <w:spacing w:val="-7"/>
              </w:rPr>
              <w:t xml:space="preserve"> Funding </w:t>
            </w:r>
            <w:r w:rsidRPr="00FA4BAD">
              <w:rPr>
                <w:b/>
                <w:i/>
                <w:spacing w:val="-1"/>
              </w:rPr>
              <w:t>Available</w:t>
            </w:r>
            <w:r w:rsidRPr="00FA4BAD">
              <w:rPr>
                <w:b/>
                <w:i/>
                <w:spacing w:val="-5"/>
              </w:rPr>
              <w:t xml:space="preserve"> </w:t>
            </w:r>
            <w:r w:rsidRPr="00FA4BAD">
              <w:rPr>
                <w:b/>
                <w:i/>
              </w:rPr>
              <w:t>-</w:t>
            </w:r>
            <w:r w:rsidRPr="00FA4BAD">
              <w:rPr>
                <w:b/>
                <w:i/>
                <w:spacing w:val="-5"/>
              </w:rPr>
              <w:t xml:space="preserve"> </w:t>
            </w:r>
            <w:r w:rsidRPr="00FA4BAD">
              <w:rPr>
                <w:b/>
                <w:i/>
                <w:spacing w:val="-1"/>
              </w:rPr>
              <w:t>Total</w:t>
            </w:r>
            <w:r w:rsidRPr="00FA4BAD">
              <w:rPr>
                <w:b/>
                <w:i/>
                <w:spacing w:val="-7"/>
              </w:rPr>
              <w:t xml:space="preserve"> S</w:t>
            </w:r>
            <w:r w:rsidRPr="00FA4BAD">
              <w:rPr>
                <w:b/>
                <w:i/>
                <w:spacing w:val="-1"/>
              </w:rPr>
              <w:t xml:space="preserve">FY20 </w:t>
            </w:r>
            <w:r w:rsidRPr="00FA4BAD">
              <w:rPr>
                <w:b/>
                <w:i/>
                <w:spacing w:val="-4"/>
              </w:rPr>
              <w:t>Funding</w:t>
            </w:r>
            <w:r w:rsidRPr="00FA4BAD">
              <w:rPr>
                <w:b/>
                <w:i/>
                <w:spacing w:val="-6"/>
              </w:rPr>
              <w:t xml:space="preserve"> </w:t>
            </w:r>
            <w:r w:rsidRPr="00FA4BAD">
              <w:rPr>
                <w:b/>
                <w:i/>
                <w:spacing w:val="-1"/>
              </w:rPr>
              <w:t>Need)</w:t>
            </w:r>
            <w:r w:rsidRPr="00FA4BAD">
              <w:rPr>
                <w:b/>
                <w:spacing w:val="-1"/>
              </w:rPr>
              <w:br/>
            </w:r>
          </w:p>
          <w:p w:rsidR="008958FB" w:rsidRPr="00FA4BAD" w:rsidRDefault="008958FB" w:rsidP="00777365">
            <w:pPr>
              <w:pStyle w:val="TableParagraph"/>
              <w:spacing w:line="242" w:lineRule="exact"/>
              <w:rPr>
                <w:rFonts w:eastAsia="Calibri" w:cs="Calibri"/>
              </w:rPr>
            </w:pPr>
          </w:p>
        </w:tc>
        <w:tc>
          <w:tcPr>
            <w:tcW w:w="1260" w:type="dxa"/>
            <w:tcBorders>
              <w:top w:val="single" w:sz="5" w:space="0" w:color="000000"/>
              <w:left w:val="single" w:sz="5" w:space="0" w:color="000000"/>
              <w:bottom w:val="single" w:sz="5" w:space="0" w:color="000000"/>
              <w:right w:val="single" w:sz="5" w:space="0" w:color="000000"/>
            </w:tcBorders>
            <w:shd w:val="clear" w:color="auto" w:fill="D9D9D9"/>
          </w:tcPr>
          <w:p w:rsidR="008958FB" w:rsidRPr="004461B5" w:rsidRDefault="008958FB" w:rsidP="00777365"/>
        </w:tc>
        <w:tc>
          <w:tcPr>
            <w:tcW w:w="1356" w:type="dxa"/>
            <w:tcBorders>
              <w:top w:val="single" w:sz="5" w:space="0" w:color="000000"/>
              <w:left w:val="single" w:sz="5" w:space="0" w:color="000000"/>
              <w:bottom w:val="single" w:sz="5" w:space="0" w:color="000000"/>
              <w:right w:val="single" w:sz="5" w:space="0" w:color="000000"/>
            </w:tcBorders>
            <w:shd w:val="clear" w:color="auto" w:fill="D9D9D9"/>
          </w:tcPr>
          <w:p w:rsidR="008958FB" w:rsidRPr="004461B5" w:rsidRDefault="008958FB" w:rsidP="00777365"/>
        </w:tc>
      </w:tr>
      <w:bookmarkEnd w:id="3"/>
    </w:tbl>
    <w:p w:rsidR="008958FB" w:rsidRDefault="008958FB" w:rsidP="008958FB">
      <w:pPr>
        <w:tabs>
          <w:tab w:val="left" w:pos="540"/>
          <w:tab w:val="left" w:pos="720"/>
        </w:tabs>
        <w:ind w:left="450" w:right="454"/>
        <w:rPr>
          <w:rFonts w:eastAsia="Times New Roman" w:cs="Times New Roman"/>
          <w:sz w:val="24"/>
          <w:szCs w:val="24"/>
        </w:rPr>
      </w:pPr>
    </w:p>
    <w:p w:rsidR="008958FB" w:rsidRPr="00FA4BAD" w:rsidRDefault="008958FB" w:rsidP="008958FB">
      <w:pPr>
        <w:tabs>
          <w:tab w:val="left" w:pos="540"/>
          <w:tab w:val="left" w:pos="720"/>
        </w:tabs>
        <w:ind w:left="450" w:right="454"/>
        <w:rPr>
          <w:rFonts w:eastAsia="Times New Roman" w:cs="Times New Roman"/>
          <w:sz w:val="24"/>
          <w:szCs w:val="24"/>
        </w:rPr>
      </w:pPr>
      <w:r w:rsidRPr="004461B5">
        <w:rPr>
          <w:b/>
          <w:sz w:val="24"/>
        </w:rPr>
        <w:t>DHHS</w:t>
      </w:r>
      <w:r w:rsidRPr="004461B5">
        <w:rPr>
          <w:b/>
          <w:spacing w:val="1"/>
          <w:sz w:val="24"/>
        </w:rPr>
        <w:t xml:space="preserve"> </w:t>
      </w:r>
      <w:r w:rsidRPr="004461B5">
        <w:rPr>
          <w:b/>
          <w:spacing w:val="-1"/>
          <w:sz w:val="24"/>
        </w:rPr>
        <w:t>Problem Gambling</w:t>
      </w:r>
      <w:r w:rsidRPr="004461B5">
        <w:rPr>
          <w:b/>
          <w:sz w:val="24"/>
        </w:rPr>
        <w:t xml:space="preserve"> </w:t>
      </w:r>
      <w:r w:rsidRPr="004461B5">
        <w:rPr>
          <w:b/>
          <w:spacing w:val="-1"/>
          <w:sz w:val="24"/>
        </w:rPr>
        <w:t>Treatment</w:t>
      </w:r>
      <w:r w:rsidRPr="004461B5">
        <w:rPr>
          <w:b/>
          <w:spacing w:val="1"/>
          <w:sz w:val="24"/>
        </w:rPr>
        <w:t xml:space="preserve"> </w:t>
      </w:r>
      <w:r w:rsidRPr="004461B5">
        <w:rPr>
          <w:b/>
          <w:spacing w:val="-1"/>
          <w:sz w:val="24"/>
        </w:rPr>
        <w:t>Grantee</w:t>
      </w:r>
      <w:r w:rsidRPr="004461B5">
        <w:rPr>
          <w:b/>
          <w:spacing w:val="1"/>
          <w:sz w:val="24"/>
        </w:rPr>
        <w:t xml:space="preserve"> </w:t>
      </w:r>
      <w:r w:rsidRPr="004461B5">
        <w:rPr>
          <w:b/>
          <w:spacing w:val="-1"/>
          <w:sz w:val="24"/>
        </w:rPr>
        <w:t>Performance Standards</w:t>
      </w:r>
    </w:p>
    <w:p w:rsidR="008958FB" w:rsidRPr="00FA4BAD" w:rsidRDefault="008958FB" w:rsidP="008958FB">
      <w:pPr>
        <w:tabs>
          <w:tab w:val="left" w:pos="720"/>
        </w:tabs>
        <w:ind w:left="450" w:right="454"/>
        <w:rPr>
          <w:rFonts w:eastAsia="Times New Roman" w:cs="Times New Roman"/>
          <w:b/>
          <w:sz w:val="24"/>
          <w:szCs w:val="24"/>
        </w:rPr>
      </w:pPr>
      <w:r w:rsidRPr="004461B5">
        <w:rPr>
          <w:rFonts w:eastAsia="Times New Roman" w:cs="Times New Roman"/>
          <w:b/>
          <w:sz w:val="24"/>
          <w:szCs w:val="24"/>
        </w:rPr>
        <w:t xml:space="preserve">Access: </w:t>
      </w:r>
      <w:r w:rsidRPr="004461B5">
        <w:rPr>
          <w:rFonts w:eastAsia="Times New Roman" w:cs="Times New Roman"/>
          <w:sz w:val="24"/>
          <w:szCs w:val="24"/>
        </w:rPr>
        <w:t>The amount of time between a problem gambling affected individual’s request for outpatient services and the first offered service appointment must be five business days or less for at least 90% of all individuals receiving services funded through this Agreement.</w:t>
      </w:r>
    </w:p>
    <w:p w:rsidR="008958FB" w:rsidRPr="004461B5" w:rsidRDefault="008958FB" w:rsidP="008958FB">
      <w:pPr>
        <w:tabs>
          <w:tab w:val="left" w:pos="90"/>
          <w:tab w:val="left" w:pos="720"/>
        </w:tabs>
        <w:ind w:left="450" w:right="454"/>
        <w:rPr>
          <w:rFonts w:eastAsia="Times New Roman" w:cs="Times New Roman"/>
          <w:sz w:val="24"/>
          <w:szCs w:val="24"/>
        </w:rPr>
      </w:pPr>
      <w:r w:rsidRPr="004461B5">
        <w:rPr>
          <w:rFonts w:eastAsia="Times New Roman" w:cs="Times New Roman"/>
          <w:b/>
          <w:sz w:val="24"/>
          <w:szCs w:val="24"/>
        </w:rPr>
        <w:t xml:space="preserve">Retention: </w:t>
      </w:r>
      <w:r w:rsidRPr="004461B5">
        <w:rPr>
          <w:rFonts w:eastAsia="Times New Roman" w:cs="Times New Roman"/>
          <w:sz w:val="24"/>
          <w:szCs w:val="24"/>
        </w:rPr>
        <w:t>The percent of problem gambling affected individuals receiving services funded through this Agreement who actively engage in problem gambling treatment for at least 10 clinical contact sessions must not be less than 50%.</w:t>
      </w:r>
    </w:p>
    <w:p w:rsidR="008958FB" w:rsidRPr="00FA4BAD" w:rsidRDefault="008958FB" w:rsidP="008958FB">
      <w:pPr>
        <w:tabs>
          <w:tab w:val="left" w:pos="90"/>
          <w:tab w:val="left" w:pos="720"/>
        </w:tabs>
        <w:ind w:left="450" w:right="454"/>
        <w:rPr>
          <w:rFonts w:eastAsia="Times New Roman" w:cs="Times New Roman"/>
          <w:sz w:val="24"/>
          <w:szCs w:val="24"/>
        </w:rPr>
      </w:pPr>
      <w:r w:rsidRPr="004461B5">
        <w:rPr>
          <w:rFonts w:eastAsia="Times New Roman" w:cs="Times New Roman"/>
          <w:b/>
          <w:sz w:val="24"/>
          <w:szCs w:val="24"/>
        </w:rPr>
        <w:t>Successful Completion</w:t>
      </w:r>
      <w:r w:rsidRPr="004461B5">
        <w:rPr>
          <w:rFonts w:eastAsia="Times New Roman" w:cs="Times New Roman"/>
          <w:sz w:val="24"/>
          <w:szCs w:val="24"/>
        </w:rPr>
        <w:t xml:space="preserve">: The percent of all individuals receiving services funded through this Agreement who successfully complete treatment must not be less than </w:t>
      </w:r>
      <w:r w:rsidRPr="004461B5">
        <w:rPr>
          <w:rFonts w:eastAsia="Times New Roman" w:cs="Times New Roman"/>
          <w:sz w:val="24"/>
          <w:szCs w:val="24"/>
        </w:rPr>
        <w:lastRenderedPageBreak/>
        <w:t>50%. A successful problem gambling treatment completion is defined as the individual’s: (a) achievement of at least 75% of short-term treatment goals</w:t>
      </w:r>
      <w:r>
        <w:rPr>
          <w:rFonts w:eastAsia="Times New Roman" w:cs="Times New Roman"/>
          <w:sz w:val="24"/>
          <w:szCs w:val="24"/>
        </w:rPr>
        <w:t>;</w:t>
      </w:r>
      <w:r w:rsidRPr="004461B5">
        <w:rPr>
          <w:rFonts w:eastAsia="Times New Roman" w:cs="Times New Roman"/>
          <w:sz w:val="24"/>
          <w:szCs w:val="24"/>
        </w:rPr>
        <w:t xml:space="preserve"> (b) completion of a continued wellness plan (i.e., relapse prevention plan)</w:t>
      </w:r>
      <w:r>
        <w:rPr>
          <w:rFonts w:eastAsia="Times New Roman" w:cs="Times New Roman"/>
          <w:sz w:val="24"/>
          <w:szCs w:val="24"/>
        </w:rPr>
        <w:t>;</w:t>
      </w:r>
      <w:r w:rsidRPr="004461B5">
        <w:rPr>
          <w:rFonts w:eastAsia="Times New Roman" w:cs="Times New Roman"/>
          <w:sz w:val="24"/>
          <w:szCs w:val="24"/>
        </w:rPr>
        <w:t xml:space="preserve"> and (c) lack of engagement in problem gambling behaviors for at least 30 days prior to discharge from services.</w:t>
      </w:r>
    </w:p>
    <w:p w:rsidR="008958FB" w:rsidRPr="004461B5" w:rsidRDefault="008958FB" w:rsidP="008958FB">
      <w:pPr>
        <w:tabs>
          <w:tab w:val="left" w:pos="720"/>
        </w:tabs>
        <w:ind w:left="450" w:right="454"/>
        <w:rPr>
          <w:rFonts w:eastAsia="Times New Roman" w:cs="Times New Roman"/>
          <w:sz w:val="24"/>
          <w:szCs w:val="24"/>
        </w:rPr>
      </w:pPr>
      <w:r w:rsidRPr="004461B5">
        <w:rPr>
          <w:rFonts w:eastAsia="Times New Roman" w:cs="Times New Roman"/>
          <w:b/>
          <w:sz w:val="24"/>
          <w:szCs w:val="24"/>
        </w:rPr>
        <w:t xml:space="preserve">Client Satisfaction: </w:t>
      </w:r>
      <w:r w:rsidRPr="004461B5">
        <w:rPr>
          <w:rFonts w:eastAsia="Times New Roman" w:cs="Times New Roman"/>
          <w:sz w:val="24"/>
          <w:szCs w:val="24"/>
        </w:rPr>
        <w:t>The percent of problem gambling affected individuals receiving services funded through this Agreement who complete a problem gambling client satisfaction survey would positively recommend the Provider to ot</w:t>
      </w:r>
      <w:r>
        <w:rPr>
          <w:rFonts w:eastAsia="Times New Roman" w:cs="Times New Roman"/>
          <w:sz w:val="24"/>
          <w:szCs w:val="24"/>
        </w:rPr>
        <w:t>hers must not be less than 85%.</w:t>
      </w:r>
    </w:p>
    <w:p w:rsidR="008958FB" w:rsidRPr="004461B5" w:rsidRDefault="008958FB" w:rsidP="008958FB">
      <w:pPr>
        <w:tabs>
          <w:tab w:val="left" w:pos="540"/>
          <w:tab w:val="left" w:pos="720"/>
        </w:tabs>
        <w:ind w:left="450" w:right="454"/>
        <w:rPr>
          <w:rFonts w:eastAsia="Times New Roman" w:cs="Times New Roman"/>
          <w:sz w:val="24"/>
          <w:szCs w:val="24"/>
        </w:rPr>
      </w:pPr>
      <w:r w:rsidRPr="004461B5">
        <w:rPr>
          <w:rFonts w:eastAsia="Times New Roman" w:cs="Times New Roman"/>
          <w:b/>
          <w:sz w:val="24"/>
          <w:szCs w:val="24"/>
        </w:rPr>
        <w:t>Long-term Outcome:</w:t>
      </w:r>
      <w:r w:rsidRPr="004461B5">
        <w:rPr>
          <w:rFonts w:eastAsia="Times New Roman" w:cs="Times New Roman"/>
          <w:sz w:val="24"/>
          <w:szCs w:val="24"/>
        </w:rPr>
        <w:t xml:space="preserve"> The percent of problem gambling affected individuals receiving services funded through this Agreement who successfully complete treatment whose responses to a problem gambling follow-up survey suggest maintained improvement at twelve months after in</w:t>
      </w:r>
      <w:r>
        <w:rPr>
          <w:rFonts w:eastAsia="Times New Roman" w:cs="Times New Roman"/>
          <w:sz w:val="24"/>
          <w:szCs w:val="24"/>
        </w:rPr>
        <w:t>take must not be less than 50%.</w:t>
      </w:r>
    </w:p>
    <w:p w:rsidR="008958FB" w:rsidRPr="004461B5" w:rsidRDefault="008958FB" w:rsidP="008958FB">
      <w:pPr>
        <w:tabs>
          <w:tab w:val="left" w:pos="90"/>
          <w:tab w:val="left" w:pos="720"/>
        </w:tabs>
        <w:ind w:left="450" w:right="454"/>
        <w:rPr>
          <w:rFonts w:eastAsia="Times New Roman" w:cs="Times New Roman"/>
          <w:sz w:val="24"/>
          <w:szCs w:val="24"/>
        </w:rPr>
      </w:pPr>
      <w:r w:rsidRPr="004461B5">
        <w:rPr>
          <w:rFonts w:eastAsia="Calibri" w:cs="Times New Roman"/>
          <w:b/>
          <w:sz w:val="24"/>
          <w:szCs w:val="24"/>
        </w:rPr>
        <w:t>Consent for Follow-Up Evaluation</w:t>
      </w:r>
      <w:r w:rsidRPr="004461B5">
        <w:rPr>
          <w:rFonts w:eastAsia="Calibri" w:cs="Times New Roman"/>
          <w:sz w:val="24"/>
          <w:szCs w:val="24"/>
        </w:rPr>
        <w:t xml:space="preserve">: percentage of problem gambling affected individuals receiving services </w:t>
      </w:r>
      <w:r w:rsidRPr="004461B5">
        <w:rPr>
          <w:rFonts w:eastAsia="Times New Roman" w:cs="Times New Roman"/>
          <w:sz w:val="24"/>
          <w:szCs w:val="24"/>
        </w:rPr>
        <w:t>funded through this Agreement at each clinic consenting for follow-up evaluation should be no less than 80% of the average percentage of clients consenting system-wide.</w:t>
      </w:r>
    </w:p>
    <w:p w:rsidR="008958FB" w:rsidRPr="00FA4BAD" w:rsidRDefault="008958FB" w:rsidP="008958FB">
      <w:pPr>
        <w:tabs>
          <w:tab w:val="left" w:pos="90"/>
          <w:tab w:val="left" w:pos="720"/>
        </w:tabs>
        <w:ind w:left="450" w:right="454"/>
        <w:rPr>
          <w:rFonts w:eastAsia="Calibri" w:cs="Times New Roman"/>
          <w:sz w:val="24"/>
          <w:szCs w:val="24"/>
        </w:rPr>
      </w:pPr>
      <w:r w:rsidRPr="004461B5">
        <w:rPr>
          <w:rFonts w:eastAsia="Times New Roman" w:cs="Times New Roman"/>
          <w:b/>
          <w:sz w:val="24"/>
          <w:szCs w:val="24"/>
        </w:rPr>
        <w:t>Service Cost Share:</w:t>
      </w:r>
      <w:r w:rsidRPr="004461B5">
        <w:rPr>
          <w:rFonts w:eastAsia="Times New Roman" w:cs="Times New Roman"/>
          <w:sz w:val="24"/>
          <w:szCs w:val="24"/>
        </w:rPr>
        <w:t xml:space="preserve"> The percentage of total reported services not claimed for DHHS reimbursement should be no less</w:t>
      </w:r>
      <w:r w:rsidRPr="004461B5">
        <w:rPr>
          <w:rFonts w:eastAsia="Calibri" w:cs="Times New Roman"/>
          <w:sz w:val="24"/>
          <w:szCs w:val="24"/>
        </w:rPr>
        <w:t xml:space="preserve"> than 75% of the average percentage of total reported</w:t>
      </w:r>
      <w:r w:rsidRPr="004461B5" w:rsidDel="00FB2D7A">
        <w:rPr>
          <w:rFonts w:eastAsia="Calibri" w:cs="Times New Roman"/>
          <w:sz w:val="24"/>
          <w:szCs w:val="24"/>
        </w:rPr>
        <w:t xml:space="preserve"> </w:t>
      </w:r>
      <w:r w:rsidRPr="004461B5">
        <w:rPr>
          <w:rFonts w:eastAsia="Calibri" w:cs="Times New Roman"/>
          <w:sz w:val="24"/>
          <w:szCs w:val="24"/>
        </w:rPr>
        <w:t>services not claimed for DHHS reimbursement across DHHS treatment grantees</w:t>
      </w:r>
      <w:r>
        <w:rPr>
          <w:rFonts w:eastAsia="Calibri" w:cs="Times New Roman"/>
          <w:sz w:val="24"/>
          <w:szCs w:val="24"/>
        </w:rPr>
        <w:t xml:space="preserve"> excluding statistical outliers</w:t>
      </w:r>
      <w:r w:rsidRPr="004461B5">
        <w:rPr>
          <w:rFonts w:eastAsia="Calibri" w:cs="Times New Roman"/>
          <w:sz w:val="24"/>
          <w:szCs w:val="24"/>
        </w:rPr>
        <w:t>.</w:t>
      </w:r>
    </w:p>
    <w:p w:rsidR="008958FB" w:rsidRDefault="008958FB" w:rsidP="008958FB">
      <w:pPr>
        <w:tabs>
          <w:tab w:val="left" w:pos="540"/>
          <w:tab w:val="left" w:pos="720"/>
        </w:tabs>
        <w:ind w:left="450" w:right="454"/>
        <w:rPr>
          <w:rFonts w:eastAsia="Times New Roman" w:cs="Times New Roman"/>
          <w:sz w:val="24"/>
          <w:szCs w:val="24"/>
        </w:rPr>
      </w:pPr>
      <w:r w:rsidRPr="004461B5">
        <w:rPr>
          <w:rFonts w:eastAsia="Times New Roman" w:cs="Times New Roman"/>
          <w:b/>
          <w:sz w:val="24"/>
          <w:szCs w:val="24"/>
        </w:rPr>
        <w:t>Documentation Accuracy:</w:t>
      </w:r>
      <w:r>
        <w:rPr>
          <w:rFonts w:eastAsia="Times New Roman" w:cs="Times New Roman"/>
          <w:sz w:val="24"/>
          <w:szCs w:val="24"/>
        </w:rPr>
        <w:t xml:space="preserve"> </w:t>
      </w:r>
      <w:r w:rsidRPr="004461B5">
        <w:rPr>
          <w:rFonts w:eastAsia="Times New Roman" w:cs="Times New Roman"/>
          <w:sz w:val="24"/>
          <w:szCs w:val="24"/>
        </w:rPr>
        <w:t xml:space="preserve">A comparison of documented clinical services provided within client files and client sign-in sheets with encounters </w:t>
      </w:r>
      <w:proofErr w:type="gramStart"/>
      <w:r w:rsidRPr="004461B5">
        <w:rPr>
          <w:rFonts w:eastAsia="Times New Roman" w:cs="Times New Roman"/>
          <w:sz w:val="24"/>
          <w:szCs w:val="24"/>
        </w:rPr>
        <w:t xml:space="preserve">entered </w:t>
      </w:r>
      <w:r>
        <w:rPr>
          <w:rFonts w:eastAsia="Times New Roman" w:cs="Times New Roman"/>
          <w:sz w:val="24"/>
          <w:szCs w:val="24"/>
        </w:rPr>
        <w:t xml:space="preserve">into </w:t>
      </w:r>
      <w:r w:rsidRPr="004461B5">
        <w:rPr>
          <w:rFonts w:eastAsia="Times New Roman" w:cs="Times New Roman"/>
          <w:sz w:val="24"/>
          <w:szCs w:val="24"/>
        </w:rPr>
        <w:t>the</w:t>
      </w:r>
      <w:proofErr w:type="gramEnd"/>
      <w:r w:rsidRPr="004461B5">
        <w:rPr>
          <w:rFonts w:eastAsia="Times New Roman" w:cs="Times New Roman"/>
          <w:sz w:val="24"/>
          <w:szCs w:val="24"/>
        </w:rPr>
        <w:t xml:space="preserve"> UNLV Problem Gambling Treatment Data Management System must have a correspond</w:t>
      </w:r>
      <w:r>
        <w:rPr>
          <w:rFonts w:eastAsia="Times New Roman" w:cs="Times New Roman"/>
          <w:sz w:val="24"/>
          <w:szCs w:val="24"/>
        </w:rPr>
        <w:t>e</w:t>
      </w:r>
      <w:r w:rsidRPr="004461B5">
        <w:rPr>
          <w:rFonts w:eastAsia="Times New Roman" w:cs="Times New Roman"/>
          <w:sz w:val="24"/>
          <w:szCs w:val="24"/>
        </w:rPr>
        <w:t>nce rate of 95% or greater for any period of 28 consecutive calendar days or longer.</w:t>
      </w:r>
    </w:p>
    <w:p w:rsidR="00EF4473" w:rsidRDefault="008958FB"/>
    <w:sectPr w:rsidR="00EF4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8FB"/>
    <w:rsid w:val="00586B12"/>
    <w:rsid w:val="00847BD6"/>
    <w:rsid w:val="00895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207E5-26B4-478F-B258-7E76E7F38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958FB"/>
    <w:pPr>
      <w:spacing w:after="200" w:line="276" w:lineRule="auto"/>
    </w:pPr>
    <w:rPr>
      <w:rFonts w:eastAsiaTheme="minorEastAsia"/>
    </w:rPr>
  </w:style>
  <w:style w:type="paragraph" w:styleId="Heading3">
    <w:name w:val="heading 3"/>
    <w:basedOn w:val="Normal"/>
    <w:next w:val="Normal"/>
    <w:link w:val="Heading3Char"/>
    <w:uiPriority w:val="9"/>
    <w:semiHidden/>
    <w:unhideWhenUsed/>
    <w:qFormat/>
    <w:rsid w:val="008958F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958FB"/>
    <w:rPr>
      <w:rFonts w:asciiTheme="majorHAnsi" w:eastAsiaTheme="majorEastAsia" w:hAnsiTheme="majorHAnsi" w:cstheme="majorBidi"/>
      <w:b/>
      <w:bCs/>
      <w:color w:val="5B9BD5" w:themeColor="accent1"/>
    </w:rPr>
  </w:style>
  <w:style w:type="paragraph" w:customStyle="1" w:styleId="TableParagraph">
    <w:name w:val="Table Paragraph"/>
    <w:basedOn w:val="Normal"/>
    <w:uiPriority w:val="1"/>
    <w:qFormat/>
    <w:rsid w:val="008958FB"/>
    <w:pPr>
      <w:widowControl w:val="0"/>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L. Garcia</dc:creator>
  <cp:keywords/>
  <dc:description/>
  <cp:lastModifiedBy>Kimberly L. Garcia</cp:lastModifiedBy>
  <cp:revision>1</cp:revision>
  <dcterms:created xsi:type="dcterms:W3CDTF">2019-02-11T17:02:00Z</dcterms:created>
  <dcterms:modified xsi:type="dcterms:W3CDTF">2019-02-11T17:05:00Z</dcterms:modified>
</cp:coreProperties>
</file>